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638" w:rsidRDefault="00233446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Mindfulness sessions for parents of people with learning disabilities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</w:rPr>
        <w:t xml:space="preserve">impact on depression, </w:t>
      </w:r>
      <w:proofErr w:type="gramStart"/>
      <w:r>
        <w:rPr>
          <w:rFonts w:ascii="Arial" w:hAnsi="Arial"/>
          <w:b/>
          <w:bCs/>
        </w:rPr>
        <w:t>anxiety</w:t>
      </w:r>
      <w:proofErr w:type="gramEnd"/>
      <w:r>
        <w:rPr>
          <w:rFonts w:ascii="Arial" w:hAnsi="Arial"/>
          <w:b/>
          <w:bCs/>
        </w:rPr>
        <w:t xml:space="preserve"> and stress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2"/>
        </w:numPr>
        <w:rPr>
          <w:rFonts w:ascii="Arial" w:hAnsi="Arial"/>
        </w:rPr>
      </w:pPr>
      <w:r>
        <w:rPr>
          <w:rStyle w:val="PageNumber"/>
          <w:rFonts w:ascii="Arial" w:hAnsi="Arial"/>
        </w:rPr>
        <w:t xml:space="preserve">A </w:t>
      </w:r>
      <w:proofErr w:type="gramStart"/>
      <w:r>
        <w:rPr>
          <w:rStyle w:val="PageNumber"/>
          <w:rFonts w:ascii="Arial" w:hAnsi="Arial"/>
        </w:rPr>
        <w:t>four week</w:t>
      </w:r>
      <w:proofErr w:type="gramEnd"/>
      <w:r>
        <w:rPr>
          <w:rStyle w:val="PageNumber"/>
          <w:rFonts w:ascii="Arial" w:hAnsi="Arial"/>
        </w:rPr>
        <w:t xml:space="preserve"> Mindfulness Based Stress Reduction course consisting of two hour sessions per week for families which include someone with </w:t>
      </w:r>
      <w:r>
        <w:rPr>
          <w:rStyle w:val="PageNumber"/>
          <w:rFonts w:ascii="Arial" w:hAnsi="Arial"/>
        </w:rPr>
        <w:t xml:space="preserve">learning disabilities or autism was held at Talbot House in November and December 2016.  The sessions covered: deep relaxation, mindful breathing, mindful walking, the 3 step Breathing Space, mindful </w:t>
      </w:r>
      <w:proofErr w:type="gramStart"/>
      <w:r>
        <w:rPr>
          <w:rStyle w:val="PageNumber"/>
          <w:rFonts w:ascii="Arial" w:hAnsi="Arial"/>
        </w:rPr>
        <w:t>eating</w:t>
      </w:r>
      <w:proofErr w:type="gramEnd"/>
      <w:r>
        <w:rPr>
          <w:rStyle w:val="PageNumber"/>
          <w:rFonts w:ascii="Arial" w:hAnsi="Arial"/>
        </w:rPr>
        <w:t xml:space="preserve"> and mindful communication.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2"/>
        </w:numPr>
        <w:rPr>
          <w:rFonts w:ascii="Arial" w:hAnsi="Arial"/>
        </w:rPr>
      </w:pPr>
      <w:r>
        <w:rPr>
          <w:rStyle w:val="PageNumber"/>
          <w:rFonts w:ascii="Arial" w:hAnsi="Arial"/>
        </w:rPr>
        <w:t>The mindfulness cours</w:t>
      </w:r>
      <w:r>
        <w:rPr>
          <w:rStyle w:val="PageNumber"/>
          <w:rFonts w:ascii="Arial" w:hAnsi="Arial"/>
        </w:rPr>
        <w:t xml:space="preserve">e was facilitated by Dene </w:t>
      </w:r>
      <w:proofErr w:type="spellStart"/>
      <w:r>
        <w:rPr>
          <w:rStyle w:val="PageNumber"/>
          <w:rFonts w:ascii="Arial" w:hAnsi="Arial"/>
        </w:rPr>
        <w:t>Donalds</w:t>
      </w:r>
      <w:proofErr w:type="spellEnd"/>
      <w:r>
        <w:rPr>
          <w:rStyle w:val="PageNumber"/>
          <w:rFonts w:ascii="Arial" w:hAnsi="Arial"/>
        </w:rPr>
        <w:t xml:space="preserve"> who has been practicing mindfulness since 1995 and facilitating mindfulness groups since 2003. Dene has completed training as a teacher of Mindfulness Based Stress Reduction at Bangor University and is also an Ordained Zen</w:t>
      </w:r>
      <w:r>
        <w:rPr>
          <w:rStyle w:val="PageNumber"/>
          <w:rFonts w:ascii="Arial" w:hAnsi="Arial"/>
        </w:rPr>
        <w:t xml:space="preserve"> Teacher.  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2"/>
        </w:numPr>
        <w:rPr>
          <w:rFonts w:ascii="Arial" w:hAnsi="Arial"/>
        </w:rPr>
      </w:pPr>
      <w:r>
        <w:rPr>
          <w:rStyle w:val="PageNumber"/>
          <w:rFonts w:ascii="Arial" w:hAnsi="Arial"/>
        </w:rPr>
        <w:t xml:space="preserve">The mindfulness course was funded and supported by the National Family </w:t>
      </w:r>
      <w:proofErr w:type="spellStart"/>
      <w:r>
        <w:rPr>
          <w:rStyle w:val="PageNumber"/>
          <w:rFonts w:ascii="Arial" w:hAnsi="Arial"/>
        </w:rPr>
        <w:t>Carer</w:t>
      </w:r>
      <w:proofErr w:type="spellEnd"/>
      <w:r>
        <w:rPr>
          <w:rStyle w:val="PageNumber"/>
          <w:rFonts w:ascii="Arial" w:hAnsi="Arial"/>
        </w:rPr>
        <w:t xml:space="preserve"> Network, the Greater Manchester Joint Training Partnership and Talbot House.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4"/>
        </w:numPr>
        <w:rPr>
          <w:rFonts w:ascii="Arial" w:hAnsi="Arial"/>
        </w:rPr>
      </w:pPr>
      <w:r>
        <w:rPr>
          <w:rStyle w:val="PageNumber"/>
          <w:rFonts w:ascii="Arial" w:hAnsi="Arial"/>
        </w:rPr>
        <w:t>The short-form Depression Anxiety Stress Scale (DASS-21; Henry and Crawford, 2005</w:t>
      </w:r>
      <w:r>
        <w:rPr>
          <w:rStyle w:val="EndnoteReference"/>
          <w:rFonts w:ascii="Arial" w:eastAsia="Arial" w:hAnsi="Arial" w:cs="Arial"/>
        </w:rPr>
        <w:footnoteReference w:id="2"/>
      </w:r>
      <w:r>
        <w:rPr>
          <w:rStyle w:val="EndnoteReference"/>
          <w:rFonts w:ascii="Arial" w:eastAsia="Arial" w:hAnsi="Arial" w:cs="Arial"/>
        </w:rPr>
        <w:footnoteReference w:id="3"/>
      </w:r>
      <w:r>
        <w:rPr>
          <w:rStyle w:val="PageNumber"/>
          <w:rFonts w:ascii="Arial" w:hAnsi="Arial"/>
        </w:rPr>
        <w:t>) w</w:t>
      </w:r>
      <w:r>
        <w:rPr>
          <w:rStyle w:val="PageNumber"/>
          <w:rFonts w:ascii="Arial" w:hAnsi="Arial"/>
        </w:rPr>
        <w:t xml:space="preserve">as completed by participants at the initial mindfulness session and final session four weeks later.  The DASS-21 is a </w:t>
      </w:r>
      <w:proofErr w:type="gramStart"/>
      <w:r>
        <w:rPr>
          <w:rStyle w:val="PageNumber"/>
          <w:rFonts w:ascii="Arial" w:hAnsi="Arial"/>
        </w:rPr>
        <w:t>21 item</w:t>
      </w:r>
      <w:proofErr w:type="gramEnd"/>
      <w:r>
        <w:rPr>
          <w:rStyle w:val="PageNumber"/>
          <w:rFonts w:ascii="Arial" w:hAnsi="Arial"/>
        </w:rPr>
        <w:t xml:space="preserve"> questionnaire with three 7-item subscale measures of depression, anxiety and stress over the previous week. Participants respond u</w:t>
      </w:r>
      <w:r>
        <w:rPr>
          <w:rStyle w:val="PageNumber"/>
          <w:rFonts w:ascii="Arial" w:hAnsi="Arial"/>
        </w:rPr>
        <w:t xml:space="preserve">sing a </w:t>
      </w:r>
      <w:proofErr w:type="gramStart"/>
      <w:r>
        <w:rPr>
          <w:rStyle w:val="PageNumber"/>
          <w:rFonts w:ascii="Arial" w:hAnsi="Arial"/>
        </w:rPr>
        <w:t>four point</w:t>
      </w:r>
      <w:proofErr w:type="gramEnd"/>
      <w:r>
        <w:rPr>
          <w:rStyle w:val="PageNumber"/>
          <w:rFonts w:ascii="Arial" w:hAnsi="Arial"/>
        </w:rPr>
        <w:t xml:space="preserve"> Likert scale ranging from 0 (</w:t>
      </w:r>
      <w:r>
        <w:rPr>
          <w:rStyle w:val="PageNumber"/>
          <w:rFonts w:ascii="Arial" w:hAnsi="Arial"/>
        </w:rPr>
        <w:t>“</w:t>
      </w:r>
      <w:r>
        <w:rPr>
          <w:rStyle w:val="PageNumber"/>
          <w:rFonts w:ascii="Arial" w:hAnsi="Arial"/>
        </w:rPr>
        <w:t>did not apply to me at all</w:t>
      </w:r>
      <w:r>
        <w:rPr>
          <w:rStyle w:val="PageNumber"/>
          <w:rFonts w:ascii="Arial" w:hAnsi="Arial"/>
        </w:rPr>
        <w:t>”</w:t>
      </w:r>
      <w:r>
        <w:rPr>
          <w:rStyle w:val="PageNumber"/>
          <w:rFonts w:ascii="Arial" w:hAnsi="Arial"/>
        </w:rPr>
        <w:t>) to 3 (</w:t>
      </w:r>
      <w:r>
        <w:rPr>
          <w:rStyle w:val="PageNumber"/>
          <w:rFonts w:ascii="Arial" w:hAnsi="Arial"/>
        </w:rPr>
        <w:t>“</w:t>
      </w:r>
      <w:r>
        <w:rPr>
          <w:rStyle w:val="PageNumber"/>
          <w:rFonts w:ascii="Arial" w:hAnsi="Arial"/>
        </w:rPr>
        <w:t>applied to me very much or most of the time</w:t>
      </w:r>
      <w:r>
        <w:rPr>
          <w:rStyle w:val="PageNumber"/>
          <w:rFonts w:ascii="Arial" w:hAnsi="Arial"/>
        </w:rPr>
        <w:t>”</w:t>
      </w:r>
      <w:r>
        <w:rPr>
          <w:rStyle w:val="PageNumber"/>
          <w:rFonts w:ascii="Arial" w:hAnsi="Arial"/>
        </w:rPr>
        <w:t xml:space="preserve">).  Scores are then doubled to be comparable with the full DASS which has 42 items; </w:t>
      </w:r>
      <w:proofErr w:type="gramStart"/>
      <w:r>
        <w:rPr>
          <w:rStyle w:val="PageNumber"/>
          <w:rFonts w:ascii="Arial" w:hAnsi="Arial"/>
        </w:rPr>
        <w:t>therefore</w:t>
      </w:r>
      <w:proofErr w:type="gramEnd"/>
      <w:r>
        <w:rPr>
          <w:rStyle w:val="PageNumber"/>
          <w:rFonts w:ascii="Arial" w:hAnsi="Arial"/>
        </w:rPr>
        <w:t xml:space="preserve"> the DASS-21 measure yields a total</w:t>
      </w:r>
      <w:r>
        <w:rPr>
          <w:rStyle w:val="PageNumber"/>
          <w:rFonts w:ascii="Arial" w:hAnsi="Arial"/>
        </w:rPr>
        <w:t xml:space="preserve"> score between 0 and 126, with each subscale yielding a total score between 0 and 42.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4"/>
        </w:numPr>
        <w:rPr>
          <w:rFonts w:ascii="Arial" w:hAnsi="Arial"/>
        </w:rPr>
      </w:pPr>
      <w:r>
        <w:rPr>
          <w:rStyle w:val="PageNumber"/>
          <w:rFonts w:ascii="Arial" w:hAnsi="Arial"/>
        </w:rPr>
        <w:t xml:space="preserve">Six people completed pre and post DASS-21 questionnaires at the initial and final mindfulness </w:t>
      </w:r>
      <w:proofErr w:type="gramStart"/>
      <w:r>
        <w:rPr>
          <w:rStyle w:val="PageNumber"/>
          <w:rFonts w:ascii="Arial" w:hAnsi="Arial"/>
        </w:rPr>
        <w:t>sessions;</w:t>
      </w:r>
      <w:proofErr w:type="gramEnd"/>
      <w:r>
        <w:rPr>
          <w:rStyle w:val="PageNumber"/>
          <w:rFonts w:ascii="Arial" w:hAnsi="Arial"/>
        </w:rPr>
        <w:t xml:space="preserve"> four women and two men.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4"/>
        </w:numPr>
        <w:rPr>
          <w:rFonts w:ascii="Arial" w:hAnsi="Arial"/>
        </w:rPr>
      </w:pPr>
      <w:r>
        <w:rPr>
          <w:rStyle w:val="PageNumber"/>
          <w:rFonts w:ascii="Arial" w:hAnsi="Arial"/>
        </w:rPr>
        <w:t>Total and subscale scores reduced for ea</w:t>
      </w:r>
      <w:r>
        <w:rPr>
          <w:rStyle w:val="PageNumber"/>
          <w:rFonts w:ascii="Arial" w:hAnsi="Arial"/>
        </w:rPr>
        <w:t xml:space="preserve">ch participant except in three cases (rises in anxiety subscale score for Participant 4 and Participant 6; no change in depression subscale score for Participant 6) </w:t>
      </w:r>
      <w:r>
        <w:rPr>
          <w:rStyle w:val="PageNumber"/>
          <w:rFonts w:ascii="Arial" w:hAnsi="Arial"/>
        </w:rPr>
        <w:t xml:space="preserve">– </w:t>
      </w:r>
      <w:r>
        <w:rPr>
          <w:rStyle w:val="PageNumber"/>
          <w:rFonts w:ascii="Arial" w:hAnsi="Arial"/>
        </w:rPr>
        <w:t>as shown in the graphs below (p3-5).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numPr>
          <w:ilvl w:val="0"/>
          <w:numId w:val="4"/>
        </w:numPr>
        <w:rPr>
          <w:rFonts w:ascii="Arial" w:hAnsi="Arial"/>
        </w:rPr>
      </w:pPr>
      <w:r>
        <w:rPr>
          <w:rStyle w:val="PageNumber"/>
          <w:rFonts w:ascii="Arial" w:hAnsi="Arial"/>
        </w:rPr>
        <w:t>As a group the participants showed statistically si</w:t>
      </w:r>
      <w:r>
        <w:rPr>
          <w:rStyle w:val="PageNumber"/>
          <w:rFonts w:ascii="Arial" w:hAnsi="Arial"/>
        </w:rPr>
        <w:t>gnificant reductions in the total DASS-21 score, depression subscale score and stress subscale score</w:t>
      </w:r>
      <w:r>
        <w:rPr>
          <w:rStyle w:val="EndnoteReference"/>
          <w:rFonts w:ascii="Arial" w:eastAsia="Arial" w:hAnsi="Arial" w:cs="Arial"/>
        </w:rPr>
        <w:footnoteReference w:id="4"/>
      </w:r>
      <w:r>
        <w:rPr>
          <w:rStyle w:val="PageNumber"/>
          <w:rFonts w:ascii="Arial" w:hAnsi="Arial"/>
        </w:rPr>
        <w:t xml:space="preserve">.  There was a reduction in the anxiety subscale </w:t>
      </w:r>
      <w:proofErr w:type="gramStart"/>
      <w:r>
        <w:rPr>
          <w:rStyle w:val="PageNumber"/>
          <w:rFonts w:ascii="Arial" w:hAnsi="Arial"/>
        </w:rPr>
        <w:t>score</w:t>
      </w:r>
      <w:proofErr w:type="gramEnd"/>
      <w:r>
        <w:rPr>
          <w:rStyle w:val="PageNumber"/>
          <w:rFonts w:ascii="Arial" w:hAnsi="Arial"/>
        </w:rPr>
        <w:t xml:space="preserve"> but this did not reach statistical significance.  Further details are given below (p2).</w:t>
      </w:r>
    </w:p>
    <w:p w:rsidR="00333638" w:rsidRDefault="00233446">
      <w:r>
        <w:rPr>
          <w:rFonts w:ascii="Arial Unicode MS" w:hAnsi="Arial Unicode MS"/>
        </w:rPr>
        <w:br w:type="page"/>
      </w:r>
    </w:p>
    <w:p w:rsidR="00333638" w:rsidRDefault="00233446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Pre-post </w:t>
      </w:r>
      <w:r>
        <w:rPr>
          <w:rFonts w:ascii="Arial" w:hAnsi="Arial"/>
          <w:b/>
          <w:bCs/>
        </w:rPr>
        <w:t>changes in DASS scores</w:t>
      </w:r>
    </w:p>
    <w:p w:rsidR="00333638" w:rsidRDefault="00333638">
      <w:pPr>
        <w:rPr>
          <w:rFonts w:ascii="Arial" w:eastAsia="Arial" w:hAnsi="Arial" w:cs="Arial"/>
        </w:rPr>
      </w:pPr>
    </w:p>
    <w:tbl>
      <w:tblPr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704"/>
        <w:gridCol w:w="1705"/>
      </w:tblGrid>
      <w:tr w:rsidR="00333638">
        <w:trPr>
          <w:trHeight w:val="1415"/>
        </w:trPr>
        <w:tc>
          <w:tcPr>
            <w:tcW w:w="170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333638"/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333638">
            <w:pPr>
              <w:jc w:val="right"/>
              <w:rPr>
                <w:rFonts w:ascii="Arial" w:eastAsia="Arial" w:hAnsi="Arial" w:cs="Arial"/>
                <w:i/>
                <w:iCs/>
              </w:rPr>
            </w:pPr>
          </w:p>
          <w:p w:rsidR="00333638" w:rsidRDefault="00233446">
            <w:pPr>
              <w:jc w:val="right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Pre</w:t>
            </w:r>
          </w:p>
          <w:p w:rsidR="00333638" w:rsidRDefault="00233446">
            <w:pPr>
              <w:jc w:val="right"/>
            </w:pPr>
            <w:r>
              <w:rPr>
                <w:rFonts w:ascii="Arial" w:hAnsi="Arial"/>
                <w:i/>
                <w:iCs/>
              </w:rPr>
              <w:t xml:space="preserve">Mean </w:t>
            </w:r>
          </w:p>
        </w:tc>
        <w:tc>
          <w:tcPr>
            <w:tcW w:w="170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333638">
            <w:pPr>
              <w:jc w:val="right"/>
              <w:rPr>
                <w:rFonts w:ascii="Arial" w:eastAsia="Arial" w:hAnsi="Arial" w:cs="Arial"/>
                <w:i/>
                <w:iCs/>
              </w:rPr>
            </w:pPr>
          </w:p>
          <w:p w:rsidR="00333638" w:rsidRDefault="00233446">
            <w:pPr>
              <w:jc w:val="right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Post</w:t>
            </w:r>
          </w:p>
          <w:p w:rsidR="00333638" w:rsidRDefault="00233446">
            <w:pPr>
              <w:jc w:val="right"/>
            </w:pPr>
            <w:r>
              <w:rPr>
                <w:rFonts w:ascii="Arial" w:hAnsi="Arial"/>
                <w:i/>
                <w:iCs/>
              </w:rPr>
              <w:t xml:space="preserve">Mean </w:t>
            </w:r>
          </w:p>
        </w:tc>
        <w:tc>
          <w:tcPr>
            <w:tcW w:w="170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333638">
            <w:pPr>
              <w:jc w:val="right"/>
              <w:rPr>
                <w:rFonts w:ascii="Arial" w:eastAsia="Arial" w:hAnsi="Arial" w:cs="Arial"/>
                <w:i/>
                <w:iCs/>
              </w:rPr>
            </w:pPr>
          </w:p>
          <w:p w:rsidR="00333638" w:rsidRDefault="00233446">
            <w:pPr>
              <w:jc w:val="right"/>
            </w:pPr>
            <w:r>
              <w:rPr>
                <w:rFonts w:ascii="Arial" w:hAnsi="Arial"/>
                <w:i/>
                <w:iCs/>
              </w:rPr>
              <w:t>Change in Mean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  <w:i/>
                <w:iCs/>
              </w:rPr>
              <w:t xml:space="preserve">Paired samples </w:t>
            </w:r>
            <w:proofErr w:type="spellStart"/>
            <w:r>
              <w:rPr>
                <w:rFonts w:ascii="Arial" w:hAnsi="Arial"/>
                <w:i/>
                <w:iCs/>
              </w:rPr>
              <w:t>t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test Significance (two-tailed)</w:t>
            </w:r>
          </w:p>
        </w:tc>
      </w:tr>
      <w:tr w:rsidR="00333638">
        <w:trPr>
          <w:trHeight w:val="570"/>
        </w:trPr>
        <w:tc>
          <w:tcPr>
            <w:tcW w:w="17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r>
              <w:rPr>
                <w:rFonts w:ascii="Arial" w:hAnsi="Arial"/>
              </w:rPr>
              <w:t xml:space="preserve">DASS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total score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54.33</w:t>
            </w:r>
          </w:p>
        </w:tc>
        <w:tc>
          <w:tcPr>
            <w:tcW w:w="170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30.33</w:t>
            </w:r>
          </w:p>
        </w:tc>
        <w:tc>
          <w:tcPr>
            <w:tcW w:w="170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24.00</w:t>
            </w:r>
          </w:p>
        </w:tc>
        <w:tc>
          <w:tcPr>
            <w:tcW w:w="17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0.016</w:t>
            </w:r>
          </w:p>
        </w:tc>
      </w:tr>
      <w:tr w:rsidR="00333638">
        <w:trPr>
          <w:trHeight w:val="572"/>
        </w:trPr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r>
              <w:rPr>
                <w:rFonts w:ascii="Arial" w:hAnsi="Arial"/>
              </w:rPr>
              <w:t>DASS - depression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16.67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10.00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6.67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0.031</w:t>
            </w:r>
          </w:p>
        </w:tc>
      </w:tr>
      <w:tr w:rsidR="00333638">
        <w:trPr>
          <w:trHeight w:val="572"/>
        </w:trPr>
        <w:tc>
          <w:tcPr>
            <w:tcW w:w="170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r>
              <w:rPr>
                <w:rFonts w:ascii="Arial" w:hAnsi="Arial"/>
              </w:rPr>
              <w:t>DASS - anxiety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13.00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8.33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4.67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0.239</w:t>
            </w:r>
          </w:p>
        </w:tc>
      </w:tr>
      <w:tr w:rsidR="00333638">
        <w:trPr>
          <w:trHeight w:val="577"/>
        </w:trPr>
        <w:tc>
          <w:tcPr>
            <w:tcW w:w="170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r>
              <w:rPr>
                <w:rFonts w:ascii="Arial" w:hAnsi="Arial"/>
              </w:rPr>
              <w:t xml:space="preserve">DASS </w:t>
            </w:r>
            <w:r>
              <w:rPr>
                <w:rFonts w:ascii="Arial" w:hAnsi="Arial"/>
              </w:rPr>
              <w:t xml:space="preserve">– </w:t>
            </w:r>
            <w:r>
              <w:rPr>
                <w:rFonts w:ascii="Arial" w:hAnsi="Arial"/>
              </w:rPr>
              <w:t>stress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24.67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12.00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12.67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638" w:rsidRDefault="00233446">
            <w:pPr>
              <w:jc w:val="right"/>
            </w:pPr>
            <w:r>
              <w:rPr>
                <w:rFonts w:ascii="Arial" w:hAnsi="Arial"/>
              </w:rPr>
              <w:t>0.008</w:t>
            </w:r>
          </w:p>
        </w:tc>
      </w:tr>
    </w:tbl>
    <w:p w:rsidR="00333638" w:rsidRDefault="00333638">
      <w:pPr>
        <w:widowControl w:val="0"/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As a group, participants showed significant reduction in total DASS-21 score from pre to post as demonstrated by a paired samples </w:t>
      </w:r>
      <w:r>
        <w:rPr>
          <w:rFonts w:ascii="Arial" w:hAnsi="Arial"/>
          <w:i/>
          <w:iCs/>
        </w:rPr>
        <w:t>t</w:t>
      </w:r>
      <w:r>
        <w:rPr>
          <w:rFonts w:ascii="Arial" w:hAnsi="Arial"/>
        </w:rPr>
        <w:t xml:space="preserve"> test.  The mean total score was significantly lower at the end of the intervention (M=30.33 SD=16.85) than at the beginning </w:t>
      </w:r>
      <w:r>
        <w:rPr>
          <w:rFonts w:ascii="Arial" w:hAnsi="Arial"/>
        </w:rPr>
        <w:t xml:space="preserve">(M=54.33 SD=28.15), </w:t>
      </w:r>
      <w:proofErr w:type="gramStart"/>
      <w:r>
        <w:rPr>
          <w:rFonts w:ascii="Arial" w:hAnsi="Arial"/>
        </w:rPr>
        <w:t>t(</w:t>
      </w:r>
      <w:proofErr w:type="gramEnd"/>
      <w:r>
        <w:rPr>
          <w:rFonts w:ascii="Arial" w:hAnsi="Arial"/>
        </w:rPr>
        <w:t xml:space="preserve">5)=3.55, p=0.016). 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As a group, participants showed significant reduction in depression score from pre to post as demonstrated by a paired samples </w:t>
      </w:r>
      <w:r>
        <w:rPr>
          <w:rFonts w:ascii="Arial" w:hAnsi="Arial"/>
          <w:i/>
          <w:iCs/>
        </w:rPr>
        <w:t>t</w:t>
      </w:r>
      <w:r>
        <w:rPr>
          <w:rFonts w:ascii="Arial" w:hAnsi="Arial"/>
        </w:rPr>
        <w:t xml:space="preserve"> test.  The mean depression score was significantly lower at the end of the intervent</w:t>
      </w:r>
      <w:r>
        <w:rPr>
          <w:rFonts w:ascii="Arial" w:hAnsi="Arial"/>
        </w:rPr>
        <w:t xml:space="preserve">ion (M=10.00 SD=7.48) than at the beginning (M=16.67 SD=10.25), </w:t>
      </w:r>
      <w:proofErr w:type="gramStart"/>
      <w:r>
        <w:rPr>
          <w:rFonts w:ascii="Arial" w:hAnsi="Arial"/>
        </w:rPr>
        <w:t>t(</w:t>
      </w:r>
      <w:proofErr w:type="gramEnd"/>
      <w:r>
        <w:rPr>
          <w:rFonts w:ascii="Arial" w:hAnsi="Arial"/>
        </w:rPr>
        <w:t xml:space="preserve">5)=2.99, p=0.03). 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As a group, participants showed significant reduction in stress score from pre to post as demonstrated by a paired samples </w:t>
      </w:r>
      <w:r>
        <w:rPr>
          <w:rFonts w:ascii="Arial" w:hAnsi="Arial"/>
          <w:i/>
          <w:iCs/>
        </w:rPr>
        <w:t>t</w:t>
      </w:r>
      <w:r>
        <w:rPr>
          <w:rFonts w:ascii="Arial" w:hAnsi="Arial"/>
        </w:rPr>
        <w:t xml:space="preserve"> test.  The mean stress score was significantl</w:t>
      </w:r>
      <w:r>
        <w:rPr>
          <w:rFonts w:ascii="Arial" w:hAnsi="Arial"/>
        </w:rPr>
        <w:t xml:space="preserve">y lower at the end of the intervention (M=12.00 SD=5.37) than at the beginning (M=24.67 SD=7.76), </w:t>
      </w:r>
      <w:proofErr w:type="gramStart"/>
      <w:r>
        <w:rPr>
          <w:rFonts w:ascii="Arial" w:hAnsi="Arial"/>
        </w:rPr>
        <w:t>t(</w:t>
      </w:r>
      <w:proofErr w:type="gramEnd"/>
      <w:r>
        <w:rPr>
          <w:rFonts w:ascii="Arial" w:hAnsi="Arial"/>
        </w:rPr>
        <w:t xml:space="preserve">5)=4.29, p=0.008). 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The paired sample </w:t>
      </w:r>
      <w:r>
        <w:rPr>
          <w:rFonts w:ascii="Arial" w:hAnsi="Arial"/>
          <w:i/>
          <w:iCs/>
        </w:rPr>
        <w:t>t</w:t>
      </w:r>
      <w:r>
        <w:rPr>
          <w:rFonts w:ascii="Arial" w:hAnsi="Arial"/>
        </w:rPr>
        <w:t xml:space="preserve"> tests failed to show significant changes in participant-reported scores on the anxiety subscale (</w:t>
      </w:r>
      <w:proofErr w:type="gramStart"/>
      <w:r>
        <w:rPr>
          <w:rFonts w:ascii="Arial" w:hAnsi="Arial"/>
        </w:rPr>
        <w:t>t(</w:t>
      </w:r>
      <w:proofErr w:type="gramEnd"/>
      <w:r>
        <w:rPr>
          <w:rFonts w:ascii="Arial" w:hAnsi="Arial"/>
        </w:rPr>
        <w:t>5)=1.34, p=0.239</w:t>
      </w:r>
      <w:r>
        <w:rPr>
          <w:rFonts w:ascii="Arial" w:hAnsi="Arial"/>
        </w:rPr>
        <w:t>).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r>
        <w:rPr>
          <w:rFonts w:ascii="Arial Unicode MS" w:hAnsi="Arial Unicode MS"/>
        </w:rPr>
        <w:br w:type="page"/>
      </w:r>
    </w:p>
    <w:p w:rsidR="00333638" w:rsidRDefault="00233446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Graphs</w:t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31414F0A" wp14:editId="3181EE5A">
            <wp:extent cx="5270748" cy="323864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60A1C39E" wp14:editId="38DA64D5">
            <wp:extent cx="5270748" cy="323864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2D5B1074" wp14:editId="1992FA26">
            <wp:extent cx="5270748" cy="323864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36934CA3" wp14:editId="4BEFD1F8">
            <wp:extent cx="5270748" cy="3238644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4A56FF3E" wp14:editId="068AD9CC">
            <wp:extent cx="5270748" cy="3238644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Style w:val="PageNumber"/>
          <w:noProof/>
        </w:rPr>
        <w:drawing>
          <wp:inline distT="0" distB="0" distL="0" distR="0" wp14:anchorId="17D22CA5" wp14:editId="75077EFE">
            <wp:extent cx="5270748" cy="3238644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748" cy="32386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333638">
      <w:pPr>
        <w:rPr>
          <w:rFonts w:ascii="Arial" w:eastAsia="Arial" w:hAnsi="Arial" w:cs="Arial"/>
        </w:rPr>
      </w:pPr>
    </w:p>
    <w:p w:rsidR="00333638" w:rsidRDefault="00233446">
      <w:pPr>
        <w:rPr>
          <w:rFonts w:ascii="Arial" w:eastAsia="Arial" w:hAnsi="Arial" w:cs="Arial"/>
        </w:rPr>
      </w:pPr>
      <w:r>
        <w:rPr>
          <w:rFonts w:ascii="Arial" w:hAnsi="Arial"/>
        </w:rPr>
        <w:t>Melanie Chapman</w:t>
      </w:r>
    </w:p>
    <w:p w:rsidR="00333638" w:rsidRDefault="00233446">
      <w:r>
        <w:rPr>
          <w:rFonts w:ascii="Arial" w:hAnsi="Arial"/>
        </w:rPr>
        <w:t>20 February 2017</w:t>
      </w:r>
    </w:p>
    <w:sectPr w:rsidR="00333638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3446" w:rsidRDefault="00233446">
      <w:r>
        <w:separator/>
      </w:r>
    </w:p>
  </w:endnote>
  <w:endnote w:type="continuationSeparator" w:id="0">
    <w:p w:rsidR="00233446" w:rsidRDefault="0023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3638" w:rsidRDefault="00233446">
    <w:pPr>
      <w:pStyle w:val="Footer"/>
      <w:tabs>
        <w:tab w:val="clear" w:pos="8306"/>
        <w:tab w:val="right" w:pos="8280"/>
      </w:tabs>
      <w:jc w:val="right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 w:rsidR="006C67CE">
      <w:rPr>
        <w:rFonts w:ascii="Arial" w:hAnsi="Arial"/>
      </w:rPr>
      <w:fldChar w:fldCharType="separate"/>
    </w:r>
    <w:r w:rsidR="006C67CE">
      <w:rPr>
        <w:rFonts w:ascii="Arial" w:hAnsi="Arial"/>
        <w:noProof/>
      </w:rPr>
      <w:t>1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3446" w:rsidRDefault="00233446">
      <w:r>
        <w:separator/>
      </w:r>
    </w:p>
  </w:footnote>
  <w:footnote w:type="continuationSeparator" w:id="0">
    <w:p w:rsidR="00233446" w:rsidRDefault="00233446">
      <w:r>
        <w:continuationSeparator/>
      </w:r>
    </w:p>
  </w:footnote>
  <w:footnote w:type="continuationNotice" w:id="1">
    <w:p w:rsidR="00233446" w:rsidRDefault="00233446"/>
  </w:footnote>
  <w:footnote w:id="2">
    <w:p w:rsidR="00333638" w:rsidRDefault="0023344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sz w:val="20"/>
          <w:szCs w:val="20"/>
        </w:rPr>
        <w:t xml:space="preserve"> Henry, J. D., &amp; Crawford, J. R. (2005). The short-form version of the depression anxiety stress scales (DASS-21): construct validity and normative data in a large non-clinical sample. British Journal of Clinical Psychology, 44(2), 227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>239.</w:t>
      </w:r>
    </w:p>
    <w:p w:rsidR="00333638" w:rsidRDefault="00233446">
      <w:r>
        <w:rPr>
          <w:rFonts w:ascii="Arial" w:hAnsi="Arial"/>
          <w:sz w:val="20"/>
          <w:szCs w:val="20"/>
        </w:rPr>
        <w:t>http://www2.psy.unsw.edu.au/DASS/</w:t>
      </w:r>
    </w:p>
  </w:footnote>
  <w:footnote w:id="3">
    <w:p w:rsidR="00000000" w:rsidRDefault="00233446"/>
  </w:footnote>
  <w:footnote w:id="4">
    <w:p w:rsidR="00333638" w:rsidRDefault="00233446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rPr>
          <w:rStyle w:val="PageNumber"/>
          <w:rFonts w:eastAsia="Arial Unicode MS" w:cs="Arial Unicode MS"/>
        </w:rPr>
        <w:t xml:space="preserve"> </w:t>
      </w:r>
      <w:r>
        <w:rPr>
          <w:rFonts w:ascii="Arial" w:hAnsi="Arial"/>
        </w:rPr>
        <w:t xml:space="preserve">Paired sample </w:t>
      </w:r>
      <w:r>
        <w:rPr>
          <w:rFonts w:ascii="Arial" w:hAnsi="Arial"/>
          <w:i/>
          <w:iCs/>
        </w:rPr>
        <w:t>t</w:t>
      </w:r>
      <w:r>
        <w:rPr>
          <w:rFonts w:ascii="Arial" w:hAnsi="Arial"/>
        </w:rPr>
        <w:t xml:space="preserve"> tests were carried out to assess change.  An alpha level of 0.05 was used to indicate statistical significance.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3638" w:rsidRDefault="003336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14D2"/>
    <w:multiLevelType w:val="hybridMultilevel"/>
    <w:tmpl w:val="9A0EAD36"/>
    <w:numStyleLink w:val="ImportedStyle1"/>
  </w:abstractNum>
  <w:abstractNum w:abstractNumId="1" w15:restartNumberingAfterBreak="0">
    <w:nsid w:val="1F1A68C9"/>
    <w:multiLevelType w:val="hybridMultilevel"/>
    <w:tmpl w:val="82068A6C"/>
    <w:styleLink w:val="ImportedStyle2"/>
    <w:lvl w:ilvl="0" w:tplc="EF1454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80E9A">
      <w:start w:val="1"/>
      <w:numFmt w:val="bullet"/>
      <w:lvlText w:val="o"/>
      <w:lvlJc w:val="left"/>
      <w:pPr>
        <w:tabs>
          <w:tab w:val="left" w:pos="360"/>
        </w:tabs>
        <w:ind w:left="1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45AF2">
      <w:start w:val="1"/>
      <w:numFmt w:val="bullet"/>
      <w:lvlText w:val="▪"/>
      <w:lvlJc w:val="left"/>
      <w:pPr>
        <w:tabs>
          <w:tab w:val="left" w:pos="360"/>
        </w:tabs>
        <w:ind w:left="18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C4C50">
      <w:start w:val="1"/>
      <w:numFmt w:val="bullet"/>
      <w:lvlText w:val="·"/>
      <w:lvlJc w:val="left"/>
      <w:pPr>
        <w:tabs>
          <w:tab w:val="left" w:pos="360"/>
        </w:tabs>
        <w:ind w:left="25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649DE2">
      <w:start w:val="1"/>
      <w:numFmt w:val="bullet"/>
      <w:lvlText w:val="o"/>
      <w:lvlJc w:val="left"/>
      <w:pPr>
        <w:tabs>
          <w:tab w:val="left" w:pos="360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A2862">
      <w:start w:val="1"/>
      <w:numFmt w:val="bullet"/>
      <w:lvlText w:val="▪"/>
      <w:lvlJc w:val="left"/>
      <w:pPr>
        <w:tabs>
          <w:tab w:val="left" w:pos="360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B44D06">
      <w:start w:val="1"/>
      <w:numFmt w:val="bullet"/>
      <w:lvlText w:val="·"/>
      <w:lvlJc w:val="left"/>
      <w:pPr>
        <w:tabs>
          <w:tab w:val="left" w:pos="360"/>
        </w:tabs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52570E">
      <w:start w:val="1"/>
      <w:numFmt w:val="bullet"/>
      <w:lvlText w:val="o"/>
      <w:lvlJc w:val="left"/>
      <w:pPr>
        <w:tabs>
          <w:tab w:val="left" w:pos="360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86A9E">
      <w:start w:val="1"/>
      <w:numFmt w:val="bullet"/>
      <w:lvlText w:val="▪"/>
      <w:lvlJc w:val="left"/>
      <w:pPr>
        <w:tabs>
          <w:tab w:val="left" w:pos="360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1C06864"/>
    <w:multiLevelType w:val="hybridMultilevel"/>
    <w:tmpl w:val="82068A6C"/>
    <w:numStyleLink w:val="ImportedStyle2"/>
  </w:abstractNum>
  <w:abstractNum w:abstractNumId="3" w15:restartNumberingAfterBreak="0">
    <w:nsid w:val="55C411D2"/>
    <w:multiLevelType w:val="hybridMultilevel"/>
    <w:tmpl w:val="9A0EAD36"/>
    <w:styleLink w:val="ImportedStyle1"/>
    <w:lvl w:ilvl="0" w:tplc="921EF7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A3E3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25AC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5097B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69BB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C0ACE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EC3E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2E72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EC91A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38"/>
    <w:rsid w:val="00233446"/>
    <w:rsid w:val="00333638"/>
    <w:rsid w:val="006C67CE"/>
    <w:rsid w:val="009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7F996"/>
  <w15:docId w15:val="{271889DD-2F25-42C6-A86D-F1BF7B9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ageNumber">
    <w:name w:val="page number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rPr>
      <w:rFonts w:eastAsia="Times New Roman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Henderson</dc:creator>
  <cp:lastModifiedBy>Nikki Henderson</cp:lastModifiedBy>
  <cp:revision>1</cp:revision>
  <dcterms:created xsi:type="dcterms:W3CDTF">2021-07-27T11:53:00Z</dcterms:created>
  <dcterms:modified xsi:type="dcterms:W3CDTF">2021-07-27T11:53:00Z</dcterms:modified>
</cp:coreProperties>
</file>